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9A" w:rsidRPr="005616C2" w:rsidRDefault="0049601A" w:rsidP="005616C2">
      <w:pPr>
        <w:pStyle w:val="af7"/>
        <w:widowControl w:val="0"/>
        <w:spacing w:after="0" w:line="343" w:lineRule="auto"/>
        <w:ind w:left="107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Меры поддержки малого и среднего предпринимательства</w:t>
      </w:r>
    </w:p>
    <w:p w:rsidR="00A4739A" w:rsidRDefault="00A4739A">
      <w:pPr>
        <w:widowControl w:val="0"/>
        <w:spacing w:after="0" w:line="343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739A" w:rsidRDefault="0049601A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целях оказания услуг и мер поддержки для малого и среднего предпр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нимательства в Приморском крае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действуют региональные институты 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вития бизнеса</w:t>
      </w:r>
      <w:r>
        <w:rPr>
          <w:rFonts w:ascii="Times New Roman" w:eastAsia="Times New Roman" w:hAnsi="Times New Roman" w:cs="Times New Roman"/>
          <w:sz w:val="28"/>
          <w:szCs w:val="28"/>
        </w:rPr>
        <w:t>: Центр поддержки предпринимательства, Центр развития эк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порта, Центр инноваций социальной сферы, Региональный центр инжиниринга, Гарантийный фонд,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«Фонд развития предприним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и промышленности Приморского края». Эти организации ориентир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ваны на оказание комплексной консультационной, информационной и фина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совой поддержки приморским предпринимателям.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Данные организации работают на единой площадке Центра «Мой бизнес» (г. Владивосток, ул. Тигровая, 7,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 8 (423) 279-59-09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Открыты представительства Центра «Мой бизнес» в 5-ти м</w:t>
      </w:r>
      <w:r w:rsidR="005616C2">
        <w:rPr>
          <w:rFonts w:ascii="Times New Roman" w:eastAsia="Times New Roman" w:hAnsi="Times New Roman" w:cs="Times New Roman"/>
          <w:sz w:val="28"/>
          <w:szCs w:val="28"/>
        </w:rPr>
        <w:t>униципальных образованиях края.</w:t>
      </w:r>
    </w:p>
    <w:bookmarkEnd w:id="0"/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поддержки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оказывает комплексную 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формационно-консультационную поддержку, реализацию образовательных программ как для действующих предпринимателей, так и для граждан, жела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щих организовать собственное дело.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развития экспорта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продвижение продукции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морских производителей на международные рынки, а также осуществляет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иск и укрепление деловых взаимоотношений с зарубежными партнерами.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инноваций социальной 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 системную работу по выявлению социальных предпринимателей, осуществляет адресное сопрово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дение, консультирование по вопросам реализации проектов социальных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принимателей.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центр инжиниринга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поддержку малых предприятий по вопросам модернизации и внедрения инновационных технол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гий в производство.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Гарантийный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поручительства субъектам малого и </w:t>
      </w:r>
    </w:p>
    <w:p w:rsidR="00A4739A" w:rsidRDefault="00A4739A">
      <w:pPr>
        <w:sectPr w:rsidR="00A4739A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среднего предпринимательства по кредитным, лизинговым договорам, договорам банковской гарантии,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позволяет повысить досту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ность кредитно-финансовых ресурсов.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Снижена стоимость поручительства по кредитам Гарантийного фонда для  предпринимателей сельскохозяйственной отрасли, ведущих свою деятельность в сферах производства продуктов питания, в области демонстрации кинофил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мов, получателей финансовой поддержки по государственным льготным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граммам кредитования, включая программы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МКК «Фонд развития предпринимательства и промышленности Приморского края», по рефинансируемым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реструктурируемым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кредитным сделкам с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стием Гарантийного фонда до 0,25% годовых, по всем остальным субъектам МСП - 0,5% годовых.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Контакты Гарантийного фонда: 8 (423) 2-440-440.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Микрокредитной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компании «Фонд развития предпр</w:t>
      </w:r>
      <w:r>
        <w:rPr>
          <w:rFonts w:ascii="Times New Roman" w:eastAsia="Times New Roman" w:hAnsi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нимательства и промышленности Приморского края»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направлена на пов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шение доступности финансовых ресурсов для малого и среднего бизнеса путем предоставления льготных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до 5 </w:t>
      </w:r>
      <w:proofErr w:type="spellStart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млн</w:t>
      </w:r>
      <w:proofErr w:type="spellEnd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 рублей по ставке от 3% год</w:t>
      </w: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о</w:t>
      </w: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вых).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Утверждены льготные ставки по </w:t>
      </w:r>
      <w:proofErr w:type="spellStart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микрозаймамМКК</w:t>
      </w:r>
      <w:proofErr w:type="spellEnd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 «Фонд развития Пр</w:t>
      </w: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и</w:t>
      </w: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морского края» (ранее максимальные ставки соответствовали ключевой ставке ЦБ):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«Бизнес» от 6%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«Моногород» от 5%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«Старт» (для начинающих) от 5%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«Сельскохозяйственный» от 5%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«Производство» от 3%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по программе «Рефинансирование» от 7,5% годовых,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По программе «</w:t>
      </w:r>
      <w:proofErr w:type="spellStart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Самозанятый</w:t>
      </w:r>
      <w:proofErr w:type="spellEnd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» от 5% годовых,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По программе «Участники ВЭД» от 3% годовых,</w:t>
      </w:r>
    </w:p>
    <w:p w:rsidR="00A4739A" w:rsidRDefault="0049601A">
      <w:pPr>
        <w:tabs>
          <w:tab w:val="left" w:pos="993"/>
        </w:tabs>
        <w:spacing w:after="120"/>
        <w:ind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По программе «Имущественный» от 3% годовых,</w:t>
      </w:r>
    </w:p>
    <w:p w:rsidR="00A4739A" w:rsidRDefault="0049601A">
      <w:pPr>
        <w:tabs>
          <w:tab w:val="left" w:pos="993"/>
        </w:tabs>
        <w:spacing w:after="120"/>
        <w:ind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lastRenderedPageBreak/>
        <w:t>По программе «Поддержка ИТ» 3% годовых.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Контакты МКК: 8 (423) 2-809-870, 8 (967) 958-98-70.</w:t>
      </w:r>
    </w:p>
    <w:p w:rsidR="00A4739A" w:rsidRDefault="00A4739A">
      <w:pPr>
        <w:pStyle w:val="afa"/>
        <w:widowControl w:val="0"/>
        <w:spacing w:after="0"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rFonts w:eastAsia="Times New Roman"/>
          <w:sz w:val="28"/>
          <w:szCs w:val="28"/>
        </w:rPr>
        <w:t xml:space="preserve">В Приморском крае проводится работа по </w:t>
      </w:r>
      <w:r>
        <w:rPr>
          <w:rFonts w:eastAsia="Times New Roman"/>
          <w:b/>
          <w:bCs/>
          <w:sz w:val="28"/>
          <w:szCs w:val="28"/>
        </w:rPr>
        <w:t>созданию</w:t>
      </w:r>
      <w:r>
        <w:rPr>
          <w:b/>
          <w:bCs/>
          <w:color w:val="000000"/>
          <w:sz w:val="28"/>
          <w:szCs w:val="28"/>
        </w:rPr>
        <w:t xml:space="preserve"> благоприятных у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ловий для осуществления деятельности «самозанятыми» гражданами</w:t>
      </w:r>
      <w:r>
        <w:rPr>
          <w:color w:val="000000"/>
          <w:sz w:val="28"/>
          <w:szCs w:val="28"/>
        </w:rPr>
        <w:t>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Правительством Приморского края совместно с налоговой службой и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ниципальными образованиями края проводятся мероприятия </w:t>
      </w:r>
      <w:r>
        <w:rPr>
          <w:color w:val="000000"/>
          <w:sz w:val="28"/>
          <w:szCs w:val="28"/>
          <w:lang w:eastAsia="ru-RU"/>
        </w:rPr>
        <w:t xml:space="preserve">по привлечению граждан к легализации деятельности и регистрации в качестве «самозанятых». </w:t>
      </w:r>
      <w:r>
        <w:rPr>
          <w:color w:val="000000"/>
          <w:sz w:val="28"/>
          <w:szCs w:val="28"/>
        </w:rPr>
        <w:t>Организована информационная кампания о преимуществах нового налогового режима («Налог на профессиональный доход»), а также мерах поддержки «с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мозанятых» граждан.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Действующие в крае организации инфраструктуры поддержки предпр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нимательства предоставляют различные меры поддержки «самозанятым». Так, Центр «Мой бизнес» предоставляет </w:t>
      </w:r>
      <w:r>
        <w:rPr>
          <w:color w:val="000000"/>
          <w:sz w:val="28"/>
        </w:rPr>
        <w:t>консультации по финансовым и юридич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ским вопросам ведения деятельности «самозанятыми», услуги по </w:t>
      </w:r>
      <w:proofErr w:type="spellStart"/>
      <w:r>
        <w:rPr>
          <w:color w:val="000000"/>
          <w:sz w:val="28"/>
        </w:rPr>
        <w:t>интернет-продвижению</w:t>
      </w:r>
      <w:proofErr w:type="spellEnd"/>
      <w:r>
        <w:rPr>
          <w:color w:val="000000"/>
          <w:sz w:val="28"/>
        </w:rPr>
        <w:t xml:space="preserve">, предоставляет бесплатные торговые места на ярмарках местных товаропроизводителей «Сделано в Приморье», </w:t>
      </w:r>
      <w:r>
        <w:rPr>
          <w:color w:val="000000"/>
          <w:sz w:val="28"/>
          <w:szCs w:val="28"/>
        </w:rPr>
        <w:t>проводит бесплатные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тельные программы по наиболее востребованным направлениям среди самоз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нятых (</w:t>
      </w:r>
      <w:proofErr w:type="spellStart"/>
      <w:r>
        <w:rPr>
          <w:color w:val="000000"/>
          <w:sz w:val="28"/>
          <w:szCs w:val="28"/>
        </w:rPr>
        <w:t>бьюти-сфера</w:t>
      </w:r>
      <w:proofErr w:type="spellEnd"/>
      <w:r>
        <w:rPr>
          <w:color w:val="000000"/>
          <w:sz w:val="28"/>
          <w:szCs w:val="28"/>
        </w:rPr>
        <w:t xml:space="preserve">, репетиторство, оказание бытовых услуг, удаленные </w:t>
      </w:r>
      <w:proofErr w:type="spellStart"/>
      <w:r>
        <w:rPr>
          <w:color w:val="000000"/>
          <w:sz w:val="28"/>
          <w:szCs w:val="28"/>
        </w:rPr>
        <w:t>фр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ланс-услуги</w:t>
      </w:r>
      <w:proofErr w:type="spellEnd"/>
      <w:r>
        <w:rPr>
          <w:color w:val="000000"/>
          <w:sz w:val="28"/>
          <w:szCs w:val="28"/>
        </w:rPr>
        <w:t>)).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proofErr w:type="spellStart"/>
      <w:r>
        <w:rPr>
          <w:rStyle w:val="ac"/>
          <w:b w:val="0"/>
          <w:color w:val="000000"/>
          <w:sz w:val="28"/>
          <w:szCs w:val="28"/>
        </w:rPr>
        <w:t>Микрокредитнаякомпания</w:t>
      </w:r>
      <w:proofErr w:type="spellEnd"/>
      <w:r>
        <w:rPr>
          <w:rStyle w:val="ac"/>
          <w:b w:val="0"/>
          <w:color w:val="000000"/>
          <w:sz w:val="28"/>
          <w:szCs w:val="28"/>
        </w:rPr>
        <w:t xml:space="preserve"> и Гарантийный фонд Приморского края</w:t>
      </w:r>
      <w:r>
        <w:rPr>
          <w:color w:val="000000"/>
          <w:sz w:val="28"/>
          <w:szCs w:val="28"/>
        </w:rPr>
        <w:t>разр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ботали специальные продукты для самозанятых граждан — </w:t>
      </w:r>
      <w:proofErr w:type="spellStart"/>
      <w:r>
        <w:rPr>
          <w:color w:val="000000"/>
          <w:sz w:val="28"/>
          <w:szCs w:val="28"/>
        </w:rPr>
        <w:t>микрозаймы</w:t>
      </w:r>
      <w:proofErr w:type="spellEnd"/>
      <w:r>
        <w:rPr>
          <w:color w:val="000000"/>
          <w:sz w:val="28"/>
          <w:szCs w:val="28"/>
        </w:rPr>
        <w:t xml:space="preserve"> 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ручительства на льготных условиях.</w:t>
      </w:r>
    </w:p>
    <w:p w:rsidR="00A4739A" w:rsidRDefault="00A4739A">
      <w:pPr>
        <w:pStyle w:val="afa"/>
        <w:widowControl w:val="0"/>
        <w:spacing w:after="0" w:line="360" w:lineRule="auto"/>
        <w:ind w:left="0" w:firstLine="709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>Новым направлением в текущем году является</w:t>
      </w:r>
      <w:r>
        <w:rPr>
          <w:b/>
          <w:bCs/>
          <w:color w:val="000000"/>
          <w:sz w:val="28"/>
          <w:szCs w:val="28"/>
        </w:rPr>
        <w:t>поддержка социальных предприятий</w:t>
      </w:r>
      <w:r>
        <w:rPr>
          <w:iCs/>
          <w:color w:val="000000"/>
          <w:sz w:val="28"/>
          <w:szCs w:val="28"/>
          <w:lang w:eastAsia="ru-RU"/>
        </w:rPr>
        <w:t xml:space="preserve"> – субъектов малого или среднего предпринимательства, осущ</w:t>
      </w:r>
      <w:r>
        <w:rPr>
          <w:iCs/>
          <w:color w:val="000000"/>
          <w:sz w:val="28"/>
          <w:szCs w:val="28"/>
          <w:lang w:eastAsia="ru-RU"/>
        </w:rPr>
        <w:t>е</w:t>
      </w:r>
      <w:r>
        <w:rPr>
          <w:iCs/>
          <w:color w:val="000000"/>
          <w:sz w:val="28"/>
          <w:szCs w:val="28"/>
          <w:lang w:eastAsia="ru-RU"/>
        </w:rPr>
        <w:t>ствляющих деятельность, направленную на достижение общественно полезных целей, решение социальных проблем граждан и общества.</w:t>
      </w:r>
    </w:p>
    <w:p w:rsidR="00A4739A" w:rsidRDefault="0049601A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Theme="minorHAnsi" w:hAnsi="Times New Roman" w:cs="Times New Roman"/>
          <w:iCs/>
          <w:sz w:val="28"/>
          <w:szCs w:val="28"/>
          <w:highlight w:val="white"/>
          <w:lang w:eastAsia="en-US"/>
        </w:rPr>
        <w:t xml:space="preserve">Центр инноваций </w:t>
      </w:r>
      <w:r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eastAsia="en-US"/>
        </w:rPr>
        <w:t>социальной сферы</w:t>
      </w:r>
      <w:r>
        <w:rPr>
          <w:rFonts w:ascii="Times New Roman" w:eastAsiaTheme="minorHAnsi" w:hAnsi="Times New Roman" w:cs="Times New Roman"/>
          <w:iCs/>
          <w:sz w:val="28"/>
          <w:szCs w:val="28"/>
          <w:highlight w:val="white"/>
          <w:lang w:eastAsia="en-US"/>
        </w:rPr>
        <w:t xml:space="preserve"> проводит акселерационные пр</w:t>
      </w:r>
      <w:r>
        <w:rPr>
          <w:rFonts w:ascii="Times New Roman" w:eastAsiaTheme="minorHAnsi" w:hAnsi="Times New Roman" w:cs="Times New Roman"/>
          <w:iCs/>
          <w:sz w:val="28"/>
          <w:szCs w:val="28"/>
          <w:highlight w:val="white"/>
          <w:lang w:eastAsia="en-US"/>
        </w:rPr>
        <w:t>о</w:t>
      </w:r>
      <w:r>
        <w:rPr>
          <w:rFonts w:ascii="Times New Roman" w:eastAsiaTheme="minorHAnsi" w:hAnsi="Times New Roman" w:cs="Times New Roman"/>
          <w:iCs/>
          <w:sz w:val="28"/>
          <w:szCs w:val="28"/>
          <w:highlight w:val="white"/>
          <w:lang w:eastAsia="en-US"/>
        </w:rPr>
        <w:t>граммы обучения для социальных предпринимателей, а также оказывает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highlight w:val="white"/>
        </w:rPr>
        <w:t xml:space="preserve"> по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highlight w:val="white"/>
        </w:rPr>
        <w:t>л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highlight w:val="white"/>
        </w:rPr>
        <w:lastRenderedPageBreak/>
        <w:t>ный комплекс мер поддержки по реализации социальных проектов. Участие - бесплатное.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rFonts w:eastAsia="Arial Unicode MS"/>
          <w:color w:val="000000"/>
          <w:sz w:val="28"/>
          <w:szCs w:val="28"/>
          <w:highlight w:val="white"/>
          <w:lang w:eastAsia="ru-RU"/>
        </w:rPr>
        <w:t>С 2021 года социальные предприятия могут получить гранты в форме субсидий из краевого бюджета в размере до 500 тысяч рублей. Полученные средства могут быть</w:t>
      </w:r>
      <w:r>
        <w:rPr>
          <w:sz w:val="28"/>
          <w:szCs w:val="28"/>
          <w:highlight w:val="white"/>
          <w:lang w:eastAsia="ru-RU"/>
        </w:rPr>
        <w:t xml:space="preserve"> направлены на аренду или ремонт помещения, приобрет</w:t>
      </w:r>
      <w:r>
        <w:rPr>
          <w:sz w:val="28"/>
          <w:szCs w:val="28"/>
          <w:highlight w:val="white"/>
          <w:lang w:eastAsia="ru-RU"/>
        </w:rPr>
        <w:t>е</w:t>
      </w:r>
      <w:r>
        <w:rPr>
          <w:sz w:val="28"/>
          <w:szCs w:val="28"/>
          <w:highlight w:val="white"/>
          <w:lang w:eastAsia="ru-RU"/>
        </w:rPr>
        <w:t>ние оборудования, присоединение к объектам инженерной инфраструктуры и другие направления расходов.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rFonts w:eastAsia="Arial Unicode MS"/>
          <w:iCs/>
          <w:color w:val="000000"/>
          <w:sz w:val="28"/>
          <w:szCs w:val="28"/>
          <w:highlight w:val="white"/>
          <w:lang w:eastAsia="ru-RU"/>
        </w:rPr>
        <w:t>Для социальны</w:t>
      </w:r>
      <w:r>
        <w:rPr>
          <w:sz w:val="28"/>
          <w:szCs w:val="28"/>
          <w:highlight w:val="white"/>
          <w:lang w:eastAsia="ru-RU"/>
        </w:rPr>
        <w:t>х предприятий предусмотрена сниженная налоговая ставка до 1% по упрощенной системе налогообложения в случае, если объектом нал</w:t>
      </w:r>
      <w:r>
        <w:rPr>
          <w:sz w:val="28"/>
          <w:szCs w:val="28"/>
          <w:highlight w:val="white"/>
          <w:lang w:eastAsia="ru-RU"/>
        </w:rPr>
        <w:t>о</w:t>
      </w:r>
      <w:r>
        <w:rPr>
          <w:sz w:val="28"/>
          <w:szCs w:val="28"/>
          <w:highlight w:val="white"/>
          <w:lang w:eastAsia="ru-RU"/>
        </w:rPr>
        <w:t xml:space="preserve">гообложения являются доходы. </w:t>
      </w:r>
    </w:p>
    <w:p w:rsidR="00A4739A" w:rsidRDefault="0049601A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highlight w:val="white"/>
        </w:rPr>
        <w:t xml:space="preserve">Специально разработана программа предоставления льготных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highlight w:val="white"/>
        </w:rPr>
        <w:t>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мов</w:t>
      </w:r>
      <w:proofErr w:type="spellEnd"/>
      <w:r w:rsidR="000B3D1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компании Приморского края для социальных предпр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ятий: до 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млн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рублей на срок до 2-х лет по ставке 1% годовых (в первые 12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сяцев), далее - 2% годовых для субъектов МСП в моногородах, 3% годовых - на общих условиях. До 300 тыс. рублей не требуется залоговое обеспечение и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роннее поручительство. По заявлению предпринимателя предоставляется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срочка по оплате основного долга на период первых 3-х месяцев с даты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микрозайма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4739A" w:rsidRDefault="0049601A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Дополнительно, Центр «Мой бизнес» на бесплатной основе оказывает комплексную информационно-консультационную п</w:t>
      </w:r>
      <w:r w:rsidR="005616C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оддержку по различным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ведения предпринимательской деятельности.</w:t>
      </w:r>
    </w:p>
    <w:p w:rsidR="00A4739A" w:rsidRDefault="00A4739A">
      <w:pPr>
        <w:pStyle w:val="afa"/>
        <w:widowControl w:val="0"/>
        <w:spacing w:after="0" w:line="360" w:lineRule="auto"/>
        <w:ind w:left="0" w:firstLine="680"/>
        <w:jc w:val="both"/>
        <w:rPr>
          <w:sz w:val="28"/>
          <w:szCs w:val="28"/>
        </w:rPr>
      </w:pPr>
    </w:p>
    <w:p w:rsidR="00A4739A" w:rsidRDefault="0049601A">
      <w:pPr>
        <w:pStyle w:val="afa"/>
        <w:widowControl w:val="0"/>
        <w:spacing w:after="0" w:line="360" w:lineRule="auto"/>
        <w:ind w:left="0" w:firstLine="680"/>
        <w:jc w:val="both"/>
      </w:pPr>
      <w:r>
        <w:rPr>
          <w:sz w:val="28"/>
          <w:szCs w:val="28"/>
        </w:rPr>
        <w:t xml:space="preserve">Реализуется </w:t>
      </w:r>
      <w:r>
        <w:rPr>
          <w:b/>
          <w:bCs/>
          <w:sz w:val="28"/>
          <w:szCs w:val="28"/>
        </w:rPr>
        <w:t>механизм льготного лизинга</w:t>
      </w:r>
      <w:r>
        <w:rPr>
          <w:sz w:val="28"/>
          <w:szCs w:val="28"/>
        </w:rPr>
        <w:t xml:space="preserve"> для субъектов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бизнеса. Данная мера предусматривает возмещение лизинговым компан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за счет средств краевого бюджета недополученных доходов при снижении стоимости лизинга для предпринимателей. Размер компенсации при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каждой лизинговой сделки составит до 500 тысяч рублей или до 20% от общей стоимости договора лизинга. Программа субсидирования лизинга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</w:t>
      </w:r>
      <w:r>
        <w:rPr>
          <w:rStyle w:val="ac"/>
          <w:b w:val="0"/>
          <w:bCs w:val="0"/>
          <w:spacing w:val="-6"/>
          <w:sz w:val="28"/>
          <w:szCs w:val="28"/>
        </w:rPr>
        <w:t>а на снижение затрат предприятий малого бизнеса, планиру</w:t>
      </w:r>
      <w:r>
        <w:rPr>
          <w:rStyle w:val="ac"/>
          <w:b w:val="0"/>
          <w:bCs w:val="0"/>
          <w:sz w:val="28"/>
          <w:szCs w:val="28"/>
        </w:rPr>
        <w:t>ющих расш</w:t>
      </w:r>
      <w:r>
        <w:rPr>
          <w:rStyle w:val="ac"/>
          <w:b w:val="0"/>
          <w:bCs w:val="0"/>
          <w:sz w:val="28"/>
          <w:szCs w:val="28"/>
        </w:rPr>
        <w:t>и</w:t>
      </w:r>
      <w:r>
        <w:rPr>
          <w:rStyle w:val="ac"/>
          <w:b w:val="0"/>
          <w:bCs w:val="0"/>
          <w:sz w:val="28"/>
          <w:szCs w:val="28"/>
        </w:rPr>
        <w:t>рить собственное производство или произвести обновление основных средств.</w:t>
      </w:r>
    </w:p>
    <w:p w:rsidR="00A4739A" w:rsidRDefault="0049601A">
      <w:pPr>
        <w:pStyle w:val="afa"/>
        <w:widowControl w:val="0"/>
        <w:spacing w:after="0" w:line="360" w:lineRule="auto"/>
        <w:ind w:left="0" w:firstLine="680"/>
        <w:jc w:val="both"/>
      </w:pPr>
      <w:r>
        <w:rPr>
          <w:rStyle w:val="ac"/>
          <w:b w:val="0"/>
          <w:bCs w:val="0"/>
          <w:sz w:val="28"/>
          <w:szCs w:val="28"/>
        </w:rPr>
        <w:lastRenderedPageBreak/>
        <w:t>В 2022 году отбор лизинговых компаний для участия в механизме льго</w:t>
      </w:r>
      <w:r>
        <w:rPr>
          <w:rStyle w:val="ac"/>
          <w:b w:val="0"/>
          <w:bCs w:val="0"/>
          <w:sz w:val="28"/>
          <w:szCs w:val="28"/>
        </w:rPr>
        <w:t>т</w:t>
      </w:r>
      <w:r>
        <w:rPr>
          <w:rStyle w:val="ac"/>
          <w:b w:val="0"/>
          <w:bCs w:val="0"/>
          <w:sz w:val="28"/>
          <w:szCs w:val="28"/>
        </w:rPr>
        <w:t>ного лизинга планируется провести в марте-апреле. В текущем году на эти цели в краевом бюджете заплани</w:t>
      </w:r>
      <w:r>
        <w:rPr>
          <w:rStyle w:val="ac"/>
          <w:b w:val="0"/>
          <w:bCs w:val="0"/>
          <w:spacing w:val="-6"/>
          <w:sz w:val="28"/>
          <w:szCs w:val="28"/>
        </w:rPr>
        <w:t>ровано 20,0 млн рублей.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Совместно с технопарком «Русский» проводится </w:t>
      </w:r>
      <w:r>
        <w:rPr>
          <w:rStyle w:val="ac"/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конкурс «Приморский старт»</w:t>
      </w: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, направленн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 на выявление лучших технологических решений и поп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ляризацию инновационного предпринимательства (в прошлом году 10 проектов получили гранты на развитие по 2 млн рублей).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этом году прием заявок на участие в конкурсном отборе планируется провести в 3 квартале. </w:t>
      </w: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В текущем году на эти цели в краевом бюджете запланир</w:t>
      </w: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о</w:t>
      </w: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вано 20,0 млн рублей.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В 2022 году планируется реализация нового мероприятия — предоставление субъектам малого и среднего предпринимательства </w:t>
      </w:r>
      <w:r>
        <w:rPr>
          <w:rStyle w:val="ac"/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грантов на реализацию пр</w:t>
      </w:r>
      <w:r>
        <w:rPr>
          <w:rStyle w:val="ac"/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о</w:t>
      </w:r>
      <w:r>
        <w:rPr>
          <w:rStyle w:val="ac"/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ектов в сфере проектирования, производства и ремонта одежды</w:t>
      </w: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.  Данная мера направлена на</w:t>
      </w:r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lang w:eastAsia="zh-CN"/>
        </w:rPr>
        <w:t xml:space="preserve"> увеличение числа занятых в сфере малого и среднего предприн</w:t>
      </w:r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lang w:eastAsia="zh-CN"/>
        </w:rPr>
        <w:t>и</w:t>
      </w:r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lang w:eastAsia="zh-CN"/>
        </w:rPr>
        <w:t>мательства, модернизацию производства, поддержку значимых проектов в креативной индустрии в крае, повышение узнаваемости локальных брендов, туристическую привлекательность Приморского края.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Приморском крае действуют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меры налогового стимулирования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субъектов малого и среднего предпринимательства: установлены пониженные налоговые ставки при применении упрощенной системы налогообложения для отдельных видов деятельности, снижен размер потенциально возможного к п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лучению годового дохода по видам деятельности, в отношении которых прим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няется патентная система налогообложения, а также действуют «налоговые 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никулы» для впервые зарегистрированных предпринимателей по отдельным видам деятельности.</w:t>
      </w:r>
      <w:proofErr w:type="gramEnd"/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Всего на реализацию </w:t>
      </w:r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pacing w:val="-6"/>
          <w:sz w:val="28"/>
          <w:szCs w:val="28"/>
          <w:lang w:eastAsia="zh-CN"/>
        </w:rPr>
        <w:t>мероприятий по развитию малого и среднего предпр</w:t>
      </w:r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pacing w:val="-6"/>
          <w:sz w:val="28"/>
          <w:szCs w:val="28"/>
          <w:lang w:eastAsia="zh-CN"/>
        </w:rPr>
        <w:t>и</w:t>
      </w:r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pacing w:val="-6"/>
          <w:sz w:val="28"/>
          <w:szCs w:val="28"/>
          <w:lang w:eastAsia="zh-CN"/>
        </w:rPr>
        <w:t xml:space="preserve">нимательства в 2022 году в краевом бюджете запланировано 485,24 </w:t>
      </w:r>
      <w:proofErr w:type="gramStart"/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pacing w:val="-6"/>
          <w:sz w:val="28"/>
          <w:szCs w:val="28"/>
          <w:lang w:eastAsia="zh-CN"/>
        </w:rPr>
        <w:t>млн</w:t>
      </w:r>
      <w:proofErr w:type="gramEnd"/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pacing w:val="-6"/>
          <w:sz w:val="28"/>
          <w:szCs w:val="28"/>
          <w:lang w:eastAsia="zh-CN"/>
        </w:rPr>
        <w:t xml:space="preserve"> рублей, в том числе 299,99 млн рублей за счет средств фе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дерального бюджета, привлече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ных по линии Минэкономразвития России.</w:t>
      </w:r>
    </w:p>
    <w:sectPr w:rsidR="00A4739A" w:rsidSect="00FC5E29">
      <w:type w:val="continuous"/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1"/>
    <w:family w:val="roman"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408"/>
  <w:autoHyphenation/>
  <w:characterSpacingControl w:val="doNotCompress"/>
  <w:compat>
    <w:useFELayout/>
  </w:compat>
  <w:rsids>
    <w:rsidRoot w:val="00A4739A"/>
    <w:rsid w:val="000B3D13"/>
    <w:rsid w:val="0049601A"/>
    <w:rsid w:val="005616C2"/>
    <w:rsid w:val="00A4739A"/>
    <w:rsid w:val="00FC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29"/>
    <w:pPr>
      <w:suppressAutoHyphens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17E8A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17E8A"/>
  </w:style>
  <w:style w:type="character" w:customStyle="1" w:styleId="a4">
    <w:name w:val="Нижний колонтитул Знак"/>
    <w:basedOn w:val="a0"/>
    <w:uiPriority w:val="99"/>
    <w:qFormat/>
    <w:rsid w:val="00082F5F"/>
  </w:style>
  <w:style w:type="character" w:customStyle="1" w:styleId="a5">
    <w:name w:val="Текст выноски Знак"/>
    <w:basedOn w:val="a0"/>
    <w:uiPriority w:val="99"/>
    <w:semiHidden/>
    <w:qFormat/>
    <w:rsid w:val="007B0F2E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437549"/>
    <w:rPr>
      <w:sz w:val="20"/>
      <w:szCs w:val="20"/>
    </w:rPr>
  </w:style>
  <w:style w:type="character" w:customStyle="1" w:styleId="a7">
    <w:name w:val="Привязка сноски"/>
    <w:rsid w:val="00FC5E2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37549"/>
    <w:rPr>
      <w:vertAlign w:val="superscript"/>
    </w:rPr>
  </w:style>
  <w:style w:type="character" w:customStyle="1" w:styleId="2">
    <w:name w:val="Основной текст с отступом 2 Знак"/>
    <w:basedOn w:val="a0"/>
    <w:link w:val="2"/>
    <w:semiHidden/>
    <w:qFormat/>
    <w:rsid w:val="005E0B2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uiPriority w:val="99"/>
    <w:qFormat/>
    <w:rsid w:val="004C4FF4"/>
  </w:style>
  <w:style w:type="character" w:customStyle="1" w:styleId="a9">
    <w:name w:val="Посещённая гиперссылка"/>
    <w:basedOn w:val="a0"/>
    <w:uiPriority w:val="99"/>
    <w:semiHidden/>
    <w:unhideWhenUsed/>
    <w:qFormat/>
    <w:rsid w:val="00187C18"/>
    <w:rPr>
      <w:color w:val="800080" w:themeColor="followedHyperlink"/>
      <w:u w:val="single"/>
    </w:rPr>
  </w:style>
  <w:style w:type="character" w:customStyle="1" w:styleId="aa">
    <w:name w:val="Основной текст с отступом Знак"/>
    <w:basedOn w:val="a0"/>
    <w:qFormat/>
    <w:rsid w:val="001D49A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qFormat/>
    <w:rsid w:val="00525005"/>
  </w:style>
  <w:style w:type="character" w:customStyle="1" w:styleId="ab">
    <w:name w:val="Основной текст_"/>
    <w:basedOn w:val="a0"/>
    <w:qFormat/>
    <w:rsid w:val="00EF27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EF27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ab"/>
    <w:qFormat/>
    <w:rsid w:val="00EF27FA"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</w:rPr>
  </w:style>
  <w:style w:type="character" w:customStyle="1" w:styleId="bodycondstrongcentredChar">
    <w:name w:val="body cond strong centred Char"/>
    <w:qFormat/>
    <w:rsid w:val="00AD7D20"/>
    <w:rPr>
      <w:rFonts w:ascii="Times New Roman" w:eastAsia="SimSun" w:hAnsi="Times New Roman" w:cs="Times New Roman"/>
      <w:b/>
      <w:spacing w:val="-3"/>
      <w:lang w:val="en-GB" w:eastAsia="en-GB"/>
    </w:rPr>
  </w:style>
  <w:style w:type="character" w:customStyle="1" w:styleId="apple-converted-space">
    <w:name w:val="apple-converted-space"/>
    <w:basedOn w:val="a0"/>
    <w:qFormat/>
    <w:rsid w:val="00A91664"/>
  </w:style>
  <w:style w:type="character" w:customStyle="1" w:styleId="20">
    <w:name w:val="Основной текст 2 Знак"/>
    <w:basedOn w:val="a0"/>
    <w:link w:val="21"/>
    <w:qFormat/>
    <w:rsid w:val="00813A56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"/>
    <w:qFormat/>
    <w:rsid w:val="00F93426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Выделение жирным"/>
    <w:qFormat/>
    <w:rsid w:val="00FC5E29"/>
    <w:rPr>
      <w:b/>
      <w:bCs/>
    </w:rPr>
  </w:style>
  <w:style w:type="character" w:customStyle="1" w:styleId="ad">
    <w:name w:val="Маркеры списка"/>
    <w:qFormat/>
    <w:rsid w:val="00FC5E29"/>
    <w:rPr>
      <w:rFonts w:ascii="OpenSymbol" w:eastAsia="OpenSymbol" w:hAnsi="OpenSymbol" w:cs="OpenSymbol"/>
    </w:rPr>
  </w:style>
  <w:style w:type="paragraph" w:styleId="ae">
    <w:name w:val="Title"/>
    <w:basedOn w:val="a"/>
    <w:next w:val="af"/>
    <w:qFormat/>
    <w:rsid w:val="00FC5E29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f">
    <w:name w:val="Body Text"/>
    <w:basedOn w:val="a"/>
    <w:uiPriority w:val="99"/>
    <w:unhideWhenUsed/>
    <w:rsid w:val="004C4FF4"/>
    <w:pPr>
      <w:spacing w:after="120"/>
    </w:pPr>
  </w:style>
  <w:style w:type="paragraph" w:styleId="af0">
    <w:name w:val="List"/>
    <w:basedOn w:val="af"/>
    <w:rsid w:val="00FC5E29"/>
    <w:rPr>
      <w:rFonts w:ascii="Times New Roman" w:hAnsi="Times New Roman" w:cs="FreeSans"/>
    </w:rPr>
  </w:style>
  <w:style w:type="paragraph" w:styleId="af1">
    <w:name w:val="caption"/>
    <w:basedOn w:val="a"/>
    <w:qFormat/>
    <w:rsid w:val="00FC5E29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2">
    <w:name w:val="index heading"/>
    <w:basedOn w:val="a"/>
    <w:qFormat/>
    <w:rsid w:val="00FC5E29"/>
    <w:pPr>
      <w:suppressLineNumbers/>
    </w:pPr>
    <w:rPr>
      <w:rFonts w:ascii="Times New Roman" w:hAnsi="Times New Roman" w:cs="FreeSans"/>
    </w:rPr>
  </w:style>
  <w:style w:type="paragraph" w:customStyle="1" w:styleId="af3">
    <w:name w:val="Верхний и нижний колонтитулы"/>
    <w:basedOn w:val="a"/>
    <w:qFormat/>
    <w:rsid w:val="00FC5E29"/>
  </w:style>
  <w:style w:type="paragraph" w:styleId="af4">
    <w:name w:val="header"/>
    <w:basedOn w:val="a"/>
    <w:uiPriority w:val="99"/>
    <w:unhideWhenUsed/>
    <w:rsid w:val="00E17E8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082F5F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alloon Text"/>
    <w:basedOn w:val="a"/>
    <w:uiPriority w:val="99"/>
    <w:semiHidden/>
    <w:unhideWhenUsed/>
    <w:qFormat/>
    <w:rsid w:val="007B0F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53142"/>
    <w:pPr>
      <w:ind w:left="720"/>
      <w:contextualSpacing/>
    </w:pPr>
  </w:style>
  <w:style w:type="paragraph" w:styleId="af8">
    <w:name w:val="footnote text"/>
    <w:basedOn w:val="a"/>
    <w:uiPriority w:val="99"/>
    <w:semiHidden/>
    <w:unhideWhenUsed/>
    <w:rsid w:val="00437549"/>
    <w:pPr>
      <w:spacing w:after="0" w:line="240" w:lineRule="auto"/>
    </w:pPr>
    <w:rPr>
      <w:sz w:val="20"/>
      <w:szCs w:val="20"/>
    </w:rPr>
  </w:style>
  <w:style w:type="paragraph" w:styleId="22">
    <w:name w:val="Body Text Indent 2"/>
    <w:basedOn w:val="a"/>
    <w:semiHidden/>
    <w:unhideWhenUsed/>
    <w:qFormat/>
    <w:rsid w:val="005E0B2A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qFormat/>
    <w:rsid w:val="005E0B2A"/>
    <w:pPr>
      <w:spacing w:after="0" w:line="240" w:lineRule="auto"/>
      <w:ind w:firstLine="227"/>
      <w:jc w:val="both"/>
    </w:pPr>
    <w:rPr>
      <w:rFonts w:ascii="OfficinaSansC" w:eastAsia="MS Mincho" w:hAnsi="OfficinaSansC" w:cs="Times New Roman"/>
      <w:sz w:val="19"/>
      <w:szCs w:val="20"/>
    </w:rPr>
  </w:style>
  <w:style w:type="paragraph" w:customStyle="1" w:styleId="FR1">
    <w:name w:val="FR1"/>
    <w:qFormat/>
    <w:rsid w:val="005E0B2A"/>
    <w:pPr>
      <w:widowControl w:val="0"/>
      <w:snapToGrid w:val="0"/>
      <w:spacing w:line="360" w:lineRule="auto"/>
      <w:ind w:left="880" w:right="100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f9">
    <w:name w:val="Normal (Web)"/>
    <w:basedOn w:val="a"/>
    <w:uiPriority w:val="99"/>
    <w:unhideWhenUsed/>
    <w:qFormat/>
    <w:rsid w:val="001D49AE"/>
    <w:pPr>
      <w:spacing w:after="300" w:line="44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rsid w:val="001D49A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b">
    <w:name w:val="Знак Знак Знак"/>
    <w:basedOn w:val="a"/>
    <w:qFormat/>
    <w:rsid w:val="00525005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</w:rPr>
  </w:style>
  <w:style w:type="paragraph" w:customStyle="1" w:styleId="1">
    <w:name w:val="Знак Знак Знак1"/>
    <w:basedOn w:val="a"/>
    <w:qFormat/>
    <w:rsid w:val="00AB56AC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</w:rPr>
  </w:style>
  <w:style w:type="paragraph" w:customStyle="1" w:styleId="Default">
    <w:name w:val="Default"/>
    <w:qFormat/>
    <w:rsid w:val="00B316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link w:val="20"/>
    <w:qFormat/>
    <w:rsid w:val="00EF27FA"/>
    <w:pPr>
      <w:widowControl w:val="0"/>
      <w:shd w:val="clear" w:color="auto" w:fill="FFFFFF"/>
      <w:spacing w:after="300" w:line="341" w:lineRule="exact"/>
      <w:ind w:hanging="17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qFormat/>
    <w:rsid w:val="00EF27FA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condstrongcentred">
    <w:name w:val="body cond strong centred"/>
    <w:basedOn w:val="a"/>
    <w:qFormat/>
    <w:rsid w:val="00AD7D20"/>
    <w:pPr>
      <w:spacing w:after="0" w:line="240" w:lineRule="auto"/>
      <w:jc w:val="center"/>
    </w:pPr>
    <w:rPr>
      <w:rFonts w:ascii="Times New Roman" w:eastAsia="SimSun" w:hAnsi="Times New Roman" w:cs="Times New Roman"/>
      <w:b/>
      <w:spacing w:val="-3"/>
      <w:lang w:val="en-GB" w:eastAsia="en-GB"/>
    </w:rPr>
  </w:style>
  <w:style w:type="paragraph" w:customStyle="1" w:styleId="Style5">
    <w:name w:val="Style5"/>
    <w:basedOn w:val="a"/>
    <w:uiPriority w:val="99"/>
    <w:qFormat/>
    <w:rsid w:val="00AD7D20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AD7D20"/>
    <w:pPr>
      <w:widowControl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813A56"/>
    <w:rPr>
      <w:rFonts w:ascii="Arial" w:eastAsia="SimSun" w:hAnsi="Arial" w:cs="Arial"/>
      <w:szCs w:val="20"/>
    </w:rPr>
  </w:style>
  <w:style w:type="paragraph" w:styleId="23">
    <w:name w:val="Body Text 2"/>
    <w:basedOn w:val="a"/>
    <w:unhideWhenUsed/>
    <w:qFormat/>
    <w:rsid w:val="00813A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1E34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бычный1"/>
    <w:qFormat/>
    <w:rsid w:val="002F60E0"/>
    <w:pPr>
      <w:widowControl w:val="0"/>
      <w:spacing w:before="12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0">
    <w:name w:val="Body Text 3"/>
    <w:basedOn w:val="a"/>
    <w:qFormat/>
    <w:rsid w:val="00F934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c">
    <w:name w:val="Содержимое таблицы"/>
    <w:basedOn w:val="a"/>
    <w:qFormat/>
    <w:rsid w:val="00FC5E29"/>
    <w:pPr>
      <w:suppressLineNumbers/>
    </w:pPr>
  </w:style>
  <w:style w:type="paragraph" w:customStyle="1" w:styleId="afd">
    <w:name w:val="Заголовок таблицы"/>
    <w:basedOn w:val="afc"/>
    <w:qFormat/>
    <w:rsid w:val="00FC5E29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E17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C4BC-6971-43CB-8A08-6949014E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Дозорова</cp:lastModifiedBy>
  <cp:revision>2</cp:revision>
  <cp:lastPrinted>2022-03-01T11:43:00Z</cp:lastPrinted>
  <dcterms:created xsi:type="dcterms:W3CDTF">2022-05-04T11:48:00Z</dcterms:created>
  <dcterms:modified xsi:type="dcterms:W3CDTF">2022-05-04T11:48:00Z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